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instrText xml:space="preserve">ADDIN CNKISM.UserStyle</w:instrText>
      </w:r>
      <w:r>
        <w:rPr>
          <w:rFonts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附件：</w:t>
      </w:r>
    </w:p>
    <w:p>
      <w:pPr>
        <w:spacing w:after="156" w:afterLines="50"/>
        <w:jc w:val="center"/>
        <w:rPr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20</w:t>
      </w:r>
      <w:r>
        <w:rPr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22</w:t>
      </w:r>
      <w:r>
        <w:rPr>
          <w:rFonts w:hint="eastAsi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年硕博连读资格成绩排名计算规则</w:t>
      </w:r>
    </w:p>
    <w:p>
      <w:pPr>
        <w:spacing w:line="440" w:lineRule="exact"/>
        <w:ind w:firstLine="640" w:firstLineChars="200"/>
        <w:rPr>
          <w:rFonts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一、学生基数</w:t>
      </w:r>
    </w:p>
    <w:p>
      <w:pPr>
        <w:spacing w:line="440" w:lineRule="exact"/>
        <w:ind w:firstLine="640" w:firstLineChars="200"/>
        <w:rPr>
          <w:rFonts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1．入学方式为统考或推免的所有201</w:t>
      </w:r>
      <w:r>
        <w:rPr>
          <w:rFonts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级、20</w:t>
      </w:r>
      <w:r>
        <w:rPr>
          <w:rFonts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级硕士研究生（不区分全日制、非全日制，不含未入学的硕士生，下同）。</w:t>
      </w:r>
    </w:p>
    <w:p>
      <w:pPr>
        <w:spacing w:line="440" w:lineRule="exact"/>
        <w:ind w:firstLine="640" w:firstLineChars="200"/>
        <w:rPr>
          <w:rFonts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2．休学的20</w:t>
      </w:r>
      <w:r>
        <w:rPr>
          <w:rFonts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级、20</w:t>
      </w:r>
      <w:r>
        <w:rPr>
          <w:rFonts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级硕士研究生、已毕业的201</w:t>
      </w:r>
      <w:r>
        <w:rPr>
          <w:rFonts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级硕士研究生，仍然计入本年级硕士研究生基数，并在本年级进行成绩排名。</w:t>
      </w:r>
    </w:p>
    <w:p>
      <w:pPr>
        <w:spacing w:line="440" w:lineRule="exact"/>
        <w:ind w:firstLine="640" w:firstLineChars="200"/>
        <w:rPr>
          <w:rFonts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3．已取得硕博连读资格的20</w:t>
      </w:r>
      <w:r>
        <w:rPr>
          <w:rFonts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级、20</w:t>
      </w:r>
      <w:r>
        <w:rPr>
          <w:rFonts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级硕士研究生仍然计入当年级硕士研究生基数。</w:t>
      </w:r>
    </w:p>
    <w:p>
      <w:pPr>
        <w:spacing w:line="440" w:lineRule="exact"/>
        <w:ind w:firstLine="640" w:firstLineChars="200"/>
        <w:rPr>
          <w:rFonts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二、成绩计算的课程范围</w:t>
      </w:r>
    </w:p>
    <w:p>
      <w:pPr>
        <w:spacing w:line="440" w:lineRule="exact"/>
        <w:ind w:firstLine="640" w:firstLineChars="200"/>
        <w:rPr>
          <w:rFonts w:hint="eastAsia" w:ascii="仿宋_GB2312" w:eastAsia="仿宋_GB2312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除下列课程成绩不列入平均成绩的计算范围外，</w:t>
      </w:r>
      <w:r>
        <w:rPr>
          <w:rFonts w:hint="eastAsia"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研究生培养计划规定的其他所有课程成绩</w:t>
      </w:r>
      <w:r>
        <w:rPr>
          <w:rFonts w:hint="eastAsia" w:ascii="仿宋_GB2312" w:eastAsia="仿宋_GB2312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：</w:t>
      </w:r>
    </w:p>
    <w:p>
      <w:pPr>
        <w:spacing w:line="440" w:lineRule="exact"/>
        <w:ind w:firstLine="640" w:firstLineChars="200"/>
        <w:rPr>
          <w:rFonts w:hint="eastAsia" w:ascii="仿宋_GB2312" w:eastAsia="仿宋_GB2312"/>
          <w:color w:val="000000" w:themeColor="text1"/>
          <w:sz w:val="32"/>
          <w:highlight w:val="yellow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1.2019级研究生</w:t>
      </w:r>
      <w:r>
        <w:rPr>
          <w:rFonts w:hint="eastAsia"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课程类型为综合环节1和综合环节2B的课程（</w:t>
      </w:r>
      <w:r>
        <w:rPr>
          <w:rFonts w:hint="eastAsia" w:ascii="仿宋_GB2312" w:eastAsia="仿宋_GB2312"/>
          <w:color w:val="000000" w:themeColor="text1"/>
          <w:sz w:val="32"/>
          <w:highlight w:val="yellow"/>
          <w14:textFill>
            <w14:solidFill>
              <w14:schemeClr w14:val="tx1"/>
            </w14:solidFill>
          </w14:textFill>
        </w:rPr>
        <w:t>如文献综述报告、学术活动、实践、实验环节成绩</w:t>
      </w:r>
      <w:r>
        <w:rPr>
          <w:rFonts w:hint="eastAsia" w:ascii="仿宋_GB2312" w:eastAsia="仿宋_GB2312"/>
          <w:color w:val="000000" w:themeColor="text1"/>
          <w:sz w:val="32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等）；</w:t>
      </w:r>
      <w:bookmarkStart w:id="0" w:name="_GoBack"/>
      <w:bookmarkEnd w:id="0"/>
    </w:p>
    <w:p>
      <w:pPr>
        <w:spacing w:line="440" w:lineRule="exact"/>
        <w:ind w:firstLine="640" w:firstLineChars="200"/>
        <w:rPr>
          <w:rFonts w:hint="eastAsia" w:ascii="仿宋_GB2312" w:eastAsia="仿宋_GB2312"/>
          <w:color w:val="000000" w:themeColor="text1"/>
          <w:sz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2.2020级研究生的必修环节（如学术活动、创新竞赛与创业活动、文献综述与开题报告、中期检查、专业实践等</w:t>
      </w:r>
      <w:r>
        <w:rPr>
          <w:rFonts w:hint="eastAsia"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eastAsia="仿宋_GB2312"/>
          <w:color w:val="000000" w:themeColor="text1"/>
          <w:sz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440" w:lineRule="exact"/>
        <w:ind w:firstLine="640" w:firstLineChars="200"/>
        <w:rPr>
          <w:rFonts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三、平均成绩计算方法</w:t>
      </w:r>
    </w:p>
    <w:p>
      <w:pPr>
        <w:spacing w:line="440" w:lineRule="exact"/>
        <w:ind w:firstLine="640" w:firstLineChars="200"/>
        <w:rPr>
          <w:rFonts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1．平均成绩的计算取“加权平均成绩”，即“Σ（学分×成绩）/Σ学分”，每门课程只计算1次成绩。</w:t>
      </w:r>
    </w:p>
    <w:p>
      <w:pPr>
        <w:spacing w:line="440" w:lineRule="exact"/>
        <w:ind w:firstLine="640" w:firstLineChars="200"/>
        <w:rPr>
          <w:rFonts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2.“五分制”成绩中的“优、良、中、及格、不及格”折合“百分制”对应分数分别为“95、85、75、65、35”。</w:t>
      </w:r>
    </w:p>
    <w:p>
      <w:pPr>
        <w:spacing w:line="440" w:lineRule="exact"/>
        <w:ind w:firstLine="640" w:firstLineChars="200"/>
        <w:rPr>
          <w:rFonts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3．不及格课程经重修或重考后取得合格成绩的，成绩按照60分计算；不及格课程经重修或重考仍未达到合格成绩的，按照该门课程已取得的最高成绩计算。</w:t>
      </w:r>
    </w:p>
    <w:p>
      <w:pPr>
        <w:spacing w:line="440" w:lineRule="exact"/>
        <w:ind w:firstLine="640" w:firstLineChars="200"/>
        <w:rPr>
          <w:rFonts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4.缓考取得的成绩，“百分制”按照实际成绩计算，“五分制”按照前述第2点的方法进行折合。</w:t>
      </w:r>
    </w:p>
    <w:p>
      <w:pPr>
        <w:spacing w:line="440" w:lineRule="exact"/>
        <w:ind w:firstLine="640" w:firstLineChars="200"/>
        <w:rPr>
          <w:rFonts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5.学生多选的选修课程，未进行退课的，仍列入成绩计算范围。</w:t>
      </w:r>
    </w:p>
    <w:p>
      <w:pPr>
        <w:spacing w:line="440" w:lineRule="exact"/>
        <w:ind w:firstLine="640" w:firstLineChars="200"/>
        <w:rPr>
          <w:rFonts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四、成绩排名方式</w:t>
      </w:r>
    </w:p>
    <w:p>
      <w:pPr>
        <w:spacing w:line="440" w:lineRule="exact"/>
        <w:ind w:firstLine="640" w:firstLineChars="200"/>
        <w:rPr>
          <w:color w:val="000000" w:themeColor="text1"/>
          <w:highlight w:val="yellow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highlight w:val="yellow"/>
          <w14:textFill>
            <w14:solidFill>
              <w14:schemeClr w14:val="tx1"/>
            </w14:solidFill>
          </w14:textFill>
        </w:rPr>
        <w:t>各院系</w:t>
      </w:r>
      <w:r>
        <w:rPr>
          <w:rFonts w:hint="eastAsia" w:ascii="仿宋_GB2312" w:eastAsia="仿宋_GB2312"/>
          <w:color w:val="000000" w:themeColor="text1"/>
          <w:sz w:val="32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要根据</w:t>
      </w:r>
      <w:r>
        <w:rPr>
          <w:rFonts w:hint="eastAsia" w:ascii="仿宋_GB2312" w:eastAsia="仿宋_GB2312"/>
          <w:color w:val="000000" w:themeColor="text1"/>
          <w:sz w:val="32"/>
          <w:highlight w:val="yellow"/>
          <w14:textFill>
            <w14:solidFill>
              <w14:schemeClr w14:val="tx1"/>
            </w14:solidFill>
          </w14:textFill>
        </w:rPr>
        <w:t>硕士研究生的平均成绩</w:t>
      </w:r>
      <w:r>
        <w:rPr>
          <w:rFonts w:hint="eastAsia" w:ascii="仿宋_GB2312" w:eastAsia="仿宋_GB2312"/>
          <w:color w:val="000000" w:themeColor="text1"/>
          <w:sz w:val="32"/>
          <w:highlight w:val="yellow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eastAsia="仿宋_GB2312"/>
          <w:color w:val="000000" w:themeColor="text1"/>
          <w:sz w:val="32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分</w:t>
      </w:r>
      <w:r>
        <w:rPr>
          <w:rFonts w:hint="eastAsia" w:ascii="仿宋_GB2312" w:eastAsia="仿宋_GB2312"/>
          <w:color w:val="000000" w:themeColor="text1"/>
          <w:sz w:val="32"/>
          <w:highlight w:val="yellow"/>
          <w14:textFill>
            <w14:solidFill>
              <w14:schemeClr w14:val="tx1"/>
            </w14:solidFill>
          </w14:textFill>
        </w:rPr>
        <w:t>年级、</w:t>
      </w:r>
      <w:r>
        <w:rPr>
          <w:rFonts w:hint="eastAsia" w:ascii="仿宋_GB2312" w:eastAsia="仿宋_GB2312"/>
          <w:color w:val="000000" w:themeColor="text1"/>
          <w:sz w:val="32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分学科</w:t>
      </w:r>
      <w:r>
        <w:rPr>
          <w:rFonts w:hint="eastAsia" w:ascii="仿宋_GB2312" w:eastAsia="仿宋_GB2312"/>
          <w:color w:val="000000" w:themeColor="text1"/>
          <w:sz w:val="32"/>
          <w:highlight w:val="yellow"/>
          <w14:textFill>
            <w14:solidFill>
              <w14:schemeClr w14:val="tx1"/>
            </w14:solidFill>
          </w14:textFill>
        </w:rPr>
        <w:t>（或</w:t>
      </w:r>
      <w:r>
        <w:rPr>
          <w:rFonts w:hint="eastAsia" w:ascii="仿宋_GB2312" w:eastAsia="仿宋_GB2312"/>
          <w:color w:val="000000" w:themeColor="text1"/>
          <w:sz w:val="32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专业学位类别</w:t>
      </w:r>
      <w:r>
        <w:rPr>
          <w:rFonts w:hint="eastAsia" w:ascii="仿宋_GB2312" w:eastAsia="仿宋_GB2312"/>
          <w:color w:val="000000" w:themeColor="text1"/>
          <w:sz w:val="32"/>
          <w:highlight w:val="yellow"/>
          <w14:textFill>
            <w14:solidFill>
              <w14:schemeClr w14:val="tx1"/>
            </w14:solidFill>
          </w14:textFill>
        </w:rPr>
        <w:t>）计算成绩排名</w:t>
      </w:r>
      <w:r>
        <w:rPr>
          <w:rFonts w:hint="eastAsia" w:ascii="仿宋_GB2312" w:eastAsia="仿宋_GB2312"/>
          <w:color w:val="000000" w:themeColor="text1"/>
          <w:sz w:val="32"/>
          <w:highlight w:val="yellow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eastAsia="仿宋_GB2312"/>
          <w:color w:val="000000" w:themeColor="text1"/>
          <w:sz w:val="32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不区分全日制和非全日制</w:t>
      </w:r>
      <w:r>
        <w:rPr>
          <w:rFonts w:hint="eastAsia" w:ascii="仿宋_GB2312" w:eastAsia="仿宋_GB2312"/>
          <w:color w:val="000000" w:themeColor="text1"/>
          <w:sz w:val="32"/>
          <w:highlight w:val="yellow"/>
          <w14:textFill>
            <w14:solidFill>
              <w14:schemeClr w14:val="tx1"/>
            </w14:solidFill>
          </w14:textFill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299"/>
    <w:rsid w:val="0000709B"/>
    <w:rsid w:val="000C06FE"/>
    <w:rsid w:val="000E64A3"/>
    <w:rsid w:val="002C6B17"/>
    <w:rsid w:val="00595FBB"/>
    <w:rsid w:val="005B44F0"/>
    <w:rsid w:val="005E6592"/>
    <w:rsid w:val="00607F90"/>
    <w:rsid w:val="00650174"/>
    <w:rsid w:val="0074458C"/>
    <w:rsid w:val="0076529B"/>
    <w:rsid w:val="00781A4B"/>
    <w:rsid w:val="008D2886"/>
    <w:rsid w:val="009B7A4A"/>
    <w:rsid w:val="009F4299"/>
    <w:rsid w:val="00AC2532"/>
    <w:rsid w:val="00B32865"/>
    <w:rsid w:val="00B832D3"/>
    <w:rsid w:val="00CD369B"/>
    <w:rsid w:val="00D33BA5"/>
    <w:rsid w:val="00DE06A2"/>
    <w:rsid w:val="00EB7CEB"/>
    <w:rsid w:val="0BE463B6"/>
    <w:rsid w:val="17137924"/>
    <w:rsid w:val="324506DD"/>
    <w:rsid w:val="3E646E3F"/>
    <w:rsid w:val="719D2608"/>
    <w:rsid w:val="724C7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523</Characters>
  <Lines>4</Lines>
  <Paragraphs>1</Paragraphs>
  <TotalTime>11</TotalTime>
  <ScaleCrop>false</ScaleCrop>
  <LinksUpToDate>false</LinksUpToDate>
  <CharactersWithSpaces>613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2018-11-07T00:45:00Z</dcterms:created>
  <dc:creator>Cai Yuanpei</dc:creator>
  <cp:lastModifiedBy>我心永恒</cp:lastModifiedBy>
  <dcterms:modified xsi:type="dcterms:W3CDTF">2021-11-12T08:37:18Z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A2F78AC0E9FE4FB6B721F489A5DAC95E</vt:lpwstr>
  </property>
</Properties>
</file>